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国惠敏</w:t>
      </w:r>
      <w:r>
        <w:rPr>
          <w:rFonts w:hint="eastAsia"/>
          <w:sz w:val="15"/>
          <w:szCs w:val="15"/>
          <w:highlight w:val="none"/>
        </w:rPr>
        <w:t>，</w:t>
      </w:r>
      <w:r>
        <w:rPr>
          <w:rFonts w:hint="eastAsia"/>
          <w:sz w:val="15"/>
          <w:szCs w:val="15"/>
          <w:highlight w:val="none"/>
          <w:lang w:val="en-US" w:eastAsia="zh-CN"/>
        </w:rPr>
        <w:t>130281199003213749</w:t>
      </w:r>
      <w:r>
        <w:rPr>
          <w:rFonts w:hint="eastAsia"/>
          <w:sz w:val="15"/>
          <w:szCs w:val="15"/>
        </w:rPr>
        <w:t xml:space="preserve">  </w:t>
      </w:r>
      <w:r>
        <w:rPr>
          <w:rFonts w:hint="eastAsia"/>
          <w:sz w:val="15"/>
          <w:szCs w:val="15"/>
          <w:lang w:val="en-US" w:eastAsia="zh-CN"/>
        </w:rPr>
        <w:t>冀B0322Y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