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陈宇</w:t>
      </w:r>
      <w:r>
        <w:rPr>
          <w:rFonts w:hint="eastAsia"/>
          <w:sz w:val="15"/>
          <w:szCs w:val="15"/>
          <w:highlight w:val="none"/>
        </w:rPr>
        <w:t>，</w:t>
      </w:r>
      <w:r>
        <w:rPr>
          <w:rFonts w:hint="eastAsia"/>
          <w:sz w:val="15"/>
          <w:szCs w:val="15"/>
          <w:highlight w:val="none"/>
          <w:lang w:val="en-US" w:eastAsia="zh-CN"/>
        </w:rPr>
        <w:t>130223198808016621</w:t>
      </w:r>
      <w:r>
        <w:rPr>
          <w:rFonts w:hint="eastAsia"/>
          <w:sz w:val="15"/>
          <w:szCs w:val="15"/>
        </w:rPr>
        <w:t xml:space="preserve">  </w:t>
      </w:r>
      <w:r>
        <w:rPr>
          <w:rFonts w:hint="eastAsia"/>
          <w:sz w:val="15"/>
          <w:szCs w:val="15"/>
          <w:lang w:val="en-US" w:eastAsia="zh-CN"/>
        </w:rPr>
        <w:t>冀B5951H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