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李红艳</w:t>
      </w:r>
      <w:r>
        <w:rPr>
          <w:rFonts w:hint="eastAsia"/>
          <w:sz w:val="15"/>
          <w:szCs w:val="15"/>
          <w:highlight w:val="none"/>
        </w:rPr>
        <w:t>，</w:t>
      </w:r>
      <w:r>
        <w:rPr>
          <w:rFonts w:hint="eastAsia"/>
          <w:sz w:val="15"/>
          <w:szCs w:val="15"/>
          <w:highlight w:val="none"/>
          <w:lang w:val="en-US" w:eastAsia="zh-CN"/>
        </w:rPr>
        <w:t>13022119860212654X</w:t>
      </w:r>
      <w:r>
        <w:rPr>
          <w:rFonts w:hint="eastAsia"/>
          <w:sz w:val="15"/>
          <w:szCs w:val="15"/>
        </w:rPr>
        <w:t xml:space="preserve">  </w:t>
      </w:r>
      <w:r>
        <w:rPr>
          <w:rFonts w:hint="eastAsia"/>
          <w:sz w:val="15"/>
          <w:szCs w:val="15"/>
          <w:lang w:val="en-US" w:eastAsia="zh-CN"/>
        </w:rPr>
        <w:t>冀B1399U</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