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盖伟</w:t>
      </w:r>
      <w:r>
        <w:rPr>
          <w:rFonts w:hint="eastAsia"/>
          <w:sz w:val="15"/>
          <w:szCs w:val="15"/>
          <w:highlight w:val="none"/>
        </w:rPr>
        <w:t>，</w:t>
      </w:r>
      <w:r>
        <w:rPr>
          <w:rFonts w:hint="eastAsia"/>
          <w:sz w:val="15"/>
          <w:szCs w:val="15"/>
          <w:highlight w:val="none"/>
          <w:lang w:val="en-US" w:eastAsia="zh-CN"/>
        </w:rPr>
        <w:t>130185199512051813</w:t>
      </w:r>
      <w:r>
        <w:rPr>
          <w:rFonts w:hint="eastAsia"/>
          <w:sz w:val="15"/>
          <w:szCs w:val="15"/>
        </w:rPr>
        <w:t xml:space="preserve">  </w:t>
      </w:r>
      <w:r>
        <w:rPr>
          <w:rFonts w:hint="eastAsia"/>
          <w:sz w:val="15"/>
          <w:szCs w:val="15"/>
          <w:lang w:val="en-US" w:eastAsia="zh-CN"/>
        </w:rPr>
        <w:t>冀AQ4028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