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胡彦梅</w:t>
      </w:r>
      <w:r>
        <w:rPr>
          <w:rFonts w:hint="eastAsia"/>
          <w:sz w:val="15"/>
          <w:szCs w:val="15"/>
          <w:highlight w:val="none"/>
        </w:rPr>
        <w:t>，</w:t>
      </w:r>
      <w:r>
        <w:rPr>
          <w:rFonts w:hint="eastAsia"/>
          <w:sz w:val="15"/>
          <w:szCs w:val="15"/>
          <w:highlight w:val="none"/>
          <w:lang w:val="en-US" w:eastAsia="zh-CN"/>
        </w:rPr>
        <w:t>130185198807302224</w:t>
      </w:r>
      <w:r>
        <w:rPr>
          <w:rFonts w:hint="eastAsia"/>
          <w:sz w:val="15"/>
          <w:szCs w:val="15"/>
        </w:rPr>
        <w:t xml:space="preserve">  </w:t>
      </w:r>
      <w:r>
        <w:rPr>
          <w:rFonts w:hint="eastAsia"/>
          <w:sz w:val="15"/>
          <w:szCs w:val="15"/>
          <w:lang w:val="en-US" w:eastAsia="zh-CN"/>
        </w:rPr>
        <w:t>冀A78683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