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高聪娟</w:t>
      </w:r>
      <w:r>
        <w:rPr>
          <w:rFonts w:hint="eastAsia"/>
          <w:sz w:val="15"/>
          <w:szCs w:val="15"/>
          <w:highlight w:val="none"/>
        </w:rPr>
        <w:t>，</w:t>
      </w:r>
      <w:r>
        <w:rPr>
          <w:rFonts w:hint="eastAsia"/>
          <w:sz w:val="15"/>
          <w:szCs w:val="15"/>
          <w:highlight w:val="none"/>
          <w:lang w:val="en-US" w:eastAsia="zh-CN"/>
        </w:rPr>
        <w:t>130184198712061089</w:t>
      </w:r>
      <w:r>
        <w:rPr>
          <w:rFonts w:hint="eastAsia"/>
          <w:sz w:val="15"/>
          <w:szCs w:val="15"/>
        </w:rPr>
        <w:t xml:space="preserve">  </w:t>
      </w:r>
      <w:r>
        <w:rPr>
          <w:rFonts w:hint="eastAsia"/>
          <w:sz w:val="15"/>
          <w:szCs w:val="15"/>
          <w:lang w:val="en-US" w:eastAsia="zh-CN"/>
        </w:rPr>
        <w:t>冀A45652D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