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马乐乐</w:t>
      </w:r>
      <w:r>
        <w:rPr>
          <w:rFonts w:hint="eastAsia"/>
          <w:sz w:val="15"/>
          <w:szCs w:val="15"/>
          <w:highlight w:val="none"/>
        </w:rPr>
        <w:t>，</w:t>
      </w:r>
      <w:r>
        <w:rPr>
          <w:rFonts w:hint="eastAsia"/>
          <w:sz w:val="15"/>
          <w:szCs w:val="15"/>
          <w:highlight w:val="none"/>
          <w:lang w:val="en-US" w:eastAsia="zh-CN"/>
        </w:rPr>
        <w:t>130184198710104014</w:t>
      </w:r>
      <w:r>
        <w:rPr>
          <w:rFonts w:hint="eastAsia"/>
          <w:sz w:val="15"/>
          <w:szCs w:val="15"/>
        </w:rPr>
        <w:t xml:space="preserve">  </w:t>
      </w:r>
      <w:r>
        <w:rPr>
          <w:rFonts w:hint="eastAsia"/>
          <w:sz w:val="15"/>
          <w:szCs w:val="15"/>
          <w:lang w:val="en-US" w:eastAsia="zh-CN"/>
        </w:rPr>
        <w:t>冀AQN683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