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张伟军</w:t>
      </w:r>
      <w:r>
        <w:rPr>
          <w:rFonts w:hint="eastAsia"/>
          <w:sz w:val="15"/>
          <w:szCs w:val="15"/>
          <w:highlight w:val="none"/>
        </w:rPr>
        <w:t>，</w:t>
      </w:r>
      <w:r>
        <w:rPr>
          <w:rFonts w:hint="eastAsia"/>
          <w:sz w:val="15"/>
          <w:szCs w:val="15"/>
          <w:highlight w:val="none"/>
          <w:lang w:val="en-US" w:eastAsia="zh-CN"/>
        </w:rPr>
        <w:t>130184198304204511</w:t>
      </w:r>
      <w:r>
        <w:rPr>
          <w:rFonts w:hint="eastAsia"/>
          <w:sz w:val="15"/>
          <w:szCs w:val="15"/>
        </w:rPr>
        <w:t xml:space="preserve">  </w:t>
      </w:r>
      <w:r>
        <w:rPr>
          <w:rFonts w:hint="eastAsia"/>
          <w:sz w:val="15"/>
          <w:szCs w:val="15"/>
          <w:lang w:val="en-US" w:eastAsia="zh-CN"/>
        </w:rPr>
        <w:t>冀AB5852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