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杜立峰</w:t>
      </w:r>
      <w:r>
        <w:rPr>
          <w:rFonts w:hint="eastAsia"/>
          <w:sz w:val="15"/>
          <w:szCs w:val="15"/>
          <w:highlight w:val="none"/>
        </w:rPr>
        <w:t>，</w:t>
      </w:r>
      <w:r>
        <w:rPr>
          <w:rFonts w:hint="eastAsia"/>
          <w:sz w:val="15"/>
          <w:szCs w:val="15"/>
          <w:highlight w:val="none"/>
          <w:lang w:val="en-US" w:eastAsia="zh-CN"/>
        </w:rPr>
        <w:t>130184197507091516</w:t>
      </w:r>
      <w:r>
        <w:rPr>
          <w:rFonts w:hint="eastAsia"/>
          <w:sz w:val="15"/>
          <w:szCs w:val="15"/>
        </w:rPr>
        <w:t xml:space="preserve">  </w:t>
      </w:r>
      <w:r>
        <w:rPr>
          <w:rFonts w:hint="eastAsia"/>
          <w:sz w:val="15"/>
          <w:szCs w:val="15"/>
          <w:lang w:val="en-US" w:eastAsia="zh-CN"/>
        </w:rPr>
        <w:t>冀ATJ018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