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姬克力</w:t>
      </w:r>
      <w:r>
        <w:rPr>
          <w:rFonts w:hint="eastAsia"/>
          <w:sz w:val="15"/>
          <w:szCs w:val="15"/>
          <w:highlight w:val="none"/>
        </w:rPr>
        <w:t>，</w:t>
      </w:r>
      <w:r>
        <w:rPr>
          <w:rFonts w:hint="eastAsia"/>
          <w:sz w:val="15"/>
          <w:szCs w:val="15"/>
          <w:highlight w:val="none"/>
          <w:lang w:val="en-US" w:eastAsia="zh-CN"/>
        </w:rPr>
        <w:t>130183198506210630</w:t>
      </w:r>
      <w:r>
        <w:rPr>
          <w:rFonts w:hint="eastAsia"/>
          <w:sz w:val="15"/>
          <w:szCs w:val="15"/>
        </w:rPr>
        <w:t xml:space="preserve">  </w:t>
      </w:r>
      <w:r>
        <w:rPr>
          <w:rFonts w:hint="eastAsia"/>
          <w:sz w:val="15"/>
          <w:szCs w:val="15"/>
          <w:lang w:val="en-US" w:eastAsia="zh-CN"/>
        </w:rPr>
        <w:t>冀A40733D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