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田雅涵</w:t>
      </w:r>
      <w:r>
        <w:rPr>
          <w:rFonts w:hint="eastAsia"/>
          <w:sz w:val="15"/>
          <w:szCs w:val="15"/>
          <w:highlight w:val="none"/>
        </w:rPr>
        <w:t>，</w:t>
      </w:r>
      <w:r>
        <w:rPr>
          <w:rFonts w:hint="eastAsia"/>
          <w:sz w:val="15"/>
          <w:szCs w:val="15"/>
          <w:highlight w:val="none"/>
          <w:lang w:val="en-US" w:eastAsia="zh-CN"/>
        </w:rPr>
        <w:t>130182200707125786</w:t>
      </w:r>
      <w:r>
        <w:rPr>
          <w:rFonts w:hint="eastAsia"/>
          <w:sz w:val="15"/>
          <w:szCs w:val="15"/>
        </w:rPr>
        <w:t xml:space="preserve">  </w:t>
      </w:r>
      <w:r>
        <w:rPr>
          <w:rFonts w:hint="eastAsia"/>
          <w:sz w:val="15"/>
          <w:szCs w:val="15"/>
          <w:lang w:val="en-US" w:eastAsia="zh-CN"/>
        </w:rPr>
        <w:t>冀A1301V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