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申东旺</w:t>
      </w:r>
      <w:r>
        <w:rPr>
          <w:rFonts w:hint="eastAsia"/>
          <w:sz w:val="15"/>
          <w:szCs w:val="15"/>
          <w:highlight w:val="none"/>
        </w:rPr>
        <w:t>，</w:t>
      </w:r>
      <w:r>
        <w:rPr>
          <w:rFonts w:hint="eastAsia"/>
          <w:sz w:val="15"/>
          <w:szCs w:val="15"/>
          <w:highlight w:val="none"/>
          <w:lang w:val="en-US" w:eastAsia="zh-CN"/>
        </w:rPr>
        <w:t>130182199001020530</w:t>
      </w:r>
      <w:r>
        <w:rPr>
          <w:rFonts w:hint="eastAsia"/>
          <w:sz w:val="15"/>
          <w:szCs w:val="15"/>
        </w:rPr>
        <w:t xml:space="preserve">  </w:t>
      </w:r>
      <w:r>
        <w:rPr>
          <w:rFonts w:hint="eastAsia"/>
          <w:sz w:val="15"/>
          <w:szCs w:val="15"/>
          <w:lang w:val="en-US" w:eastAsia="zh-CN"/>
        </w:rPr>
        <w:t>冀A5C820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