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李艺</w:t>
      </w:r>
      <w:r>
        <w:rPr>
          <w:rFonts w:hint="eastAsia"/>
          <w:sz w:val="15"/>
          <w:szCs w:val="15"/>
          <w:highlight w:val="none"/>
        </w:rPr>
        <w:t>，</w:t>
      </w:r>
      <w:r>
        <w:rPr>
          <w:rFonts w:hint="eastAsia"/>
          <w:sz w:val="15"/>
          <w:szCs w:val="15"/>
          <w:highlight w:val="none"/>
          <w:lang w:val="en-US" w:eastAsia="zh-CN"/>
        </w:rPr>
        <w:t>13018219890601486X</w:t>
      </w:r>
      <w:r>
        <w:rPr>
          <w:rFonts w:hint="eastAsia"/>
          <w:sz w:val="15"/>
          <w:szCs w:val="15"/>
        </w:rPr>
        <w:t xml:space="preserve">  </w:t>
      </w:r>
      <w:r>
        <w:rPr>
          <w:rFonts w:hint="eastAsia"/>
          <w:sz w:val="15"/>
          <w:szCs w:val="15"/>
          <w:lang w:val="en-US" w:eastAsia="zh-CN"/>
        </w:rPr>
        <w:t>冀AAB277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