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李建鹏</w:t>
      </w:r>
      <w:r>
        <w:rPr>
          <w:rFonts w:hint="eastAsia"/>
          <w:sz w:val="15"/>
          <w:szCs w:val="15"/>
          <w:highlight w:val="none"/>
        </w:rPr>
        <w:t>，</w:t>
      </w:r>
      <w:r>
        <w:rPr>
          <w:rFonts w:hint="eastAsia"/>
          <w:sz w:val="15"/>
          <w:szCs w:val="15"/>
          <w:highlight w:val="none"/>
          <w:lang w:val="en-US" w:eastAsia="zh-CN"/>
        </w:rPr>
        <w:t>13018219890410487X</w:t>
      </w:r>
      <w:r>
        <w:rPr>
          <w:rFonts w:hint="eastAsia"/>
          <w:sz w:val="15"/>
          <w:szCs w:val="15"/>
        </w:rPr>
        <w:t xml:space="preserve">  </w:t>
      </w:r>
      <w:r>
        <w:rPr>
          <w:rFonts w:hint="eastAsia"/>
          <w:sz w:val="15"/>
          <w:szCs w:val="15"/>
          <w:lang w:val="en-US" w:eastAsia="zh-CN"/>
        </w:rPr>
        <w:t>冀A9293D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