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刘晓龙</w:t>
      </w:r>
      <w:r>
        <w:rPr>
          <w:rFonts w:hint="eastAsia"/>
          <w:sz w:val="15"/>
          <w:szCs w:val="15"/>
          <w:highlight w:val="none"/>
        </w:rPr>
        <w:t>，</w:t>
      </w:r>
      <w:r>
        <w:rPr>
          <w:rFonts w:hint="eastAsia"/>
          <w:sz w:val="15"/>
          <w:szCs w:val="15"/>
          <w:highlight w:val="none"/>
          <w:lang w:val="en-US" w:eastAsia="zh-CN"/>
        </w:rPr>
        <w:t>130182198712215313</w:t>
      </w:r>
      <w:r>
        <w:rPr>
          <w:rFonts w:hint="eastAsia"/>
          <w:sz w:val="15"/>
          <w:szCs w:val="15"/>
        </w:rPr>
        <w:t xml:space="preserve">  </w:t>
      </w:r>
      <w:r>
        <w:rPr>
          <w:rFonts w:hint="eastAsia"/>
          <w:sz w:val="15"/>
          <w:szCs w:val="15"/>
          <w:lang w:val="en-US" w:eastAsia="zh-CN"/>
        </w:rPr>
        <w:t>冀A58101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