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刘晓峰</w:t>
      </w:r>
      <w:r>
        <w:rPr>
          <w:rFonts w:hint="eastAsia"/>
          <w:sz w:val="15"/>
          <w:szCs w:val="15"/>
          <w:highlight w:val="none"/>
        </w:rPr>
        <w:t>，</w:t>
      </w:r>
      <w:r>
        <w:rPr>
          <w:rFonts w:hint="eastAsia"/>
          <w:sz w:val="15"/>
          <w:szCs w:val="15"/>
          <w:highlight w:val="none"/>
          <w:lang w:val="en-US" w:eastAsia="zh-CN"/>
        </w:rPr>
        <w:t>130182198608185337</w:t>
      </w:r>
      <w:r>
        <w:rPr>
          <w:rFonts w:hint="eastAsia"/>
          <w:sz w:val="15"/>
          <w:szCs w:val="15"/>
        </w:rPr>
        <w:t xml:space="preserve">  </w:t>
      </w:r>
      <w:r>
        <w:rPr>
          <w:rFonts w:hint="eastAsia"/>
          <w:sz w:val="15"/>
          <w:szCs w:val="15"/>
          <w:lang w:val="en-US" w:eastAsia="zh-CN"/>
        </w:rPr>
        <w:t>冀A66428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