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张聪</w:t>
      </w:r>
      <w:r>
        <w:rPr>
          <w:rFonts w:hint="eastAsia"/>
          <w:sz w:val="15"/>
          <w:szCs w:val="15"/>
          <w:highlight w:val="none"/>
        </w:rPr>
        <w:t>，</w:t>
      </w:r>
      <w:r>
        <w:rPr>
          <w:rFonts w:hint="eastAsia"/>
          <w:sz w:val="15"/>
          <w:szCs w:val="15"/>
          <w:highlight w:val="none"/>
          <w:lang w:val="en-US" w:eastAsia="zh-CN"/>
        </w:rPr>
        <w:t>130182198411170545</w:t>
      </w:r>
      <w:r>
        <w:rPr>
          <w:rFonts w:hint="eastAsia"/>
          <w:sz w:val="15"/>
          <w:szCs w:val="15"/>
        </w:rPr>
        <w:t xml:space="preserve">  </w:t>
      </w:r>
      <w:r>
        <w:rPr>
          <w:rFonts w:hint="eastAsia"/>
          <w:sz w:val="15"/>
          <w:szCs w:val="15"/>
          <w:lang w:val="en-US" w:eastAsia="zh-CN"/>
        </w:rPr>
        <w:t>冀AVG145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