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刘韶华</w:t>
      </w:r>
      <w:r>
        <w:rPr>
          <w:rFonts w:hint="eastAsia"/>
          <w:sz w:val="15"/>
          <w:szCs w:val="15"/>
          <w:highlight w:val="none"/>
        </w:rPr>
        <w:t>，</w:t>
      </w:r>
      <w:r>
        <w:rPr>
          <w:rFonts w:hint="eastAsia"/>
          <w:sz w:val="15"/>
          <w:szCs w:val="15"/>
          <w:highlight w:val="none"/>
          <w:lang w:val="en-US" w:eastAsia="zh-CN"/>
        </w:rPr>
        <w:t>130182198406155316</w:t>
      </w:r>
      <w:r>
        <w:rPr>
          <w:rFonts w:hint="eastAsia"/>
          <w:sz w:val="15"/>
          <w:szCs w:val="15"/>
        </w:rPr>
        <w:t xml:space="preserve">  </w:t>
      </w:r>
      <w:r>
        <w:rPr>
          <w:rFonts w:hint="eastAsia"/>
          <w:sz w:val="15"/>
          <w:szCs w:val="15"/>
          <w:lang w:val="en-US" w:eastAsia="zh-CN"/>
        </w:rPr>
        <w:t>冀AC8616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