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郎盼</w:t>
      </w:r>
      <w:r>
        <w:rPr>
          <w:rFonts w:hint="eastAsia"/>
          <w:sz w:val="15"/>
          <w:szCs w:val="15"/>
          <w:highlight w:val="none"/>
        </w:rPr>
        <w:t>，</w:t>
      </w:r>
      <w:r>
        <w:rPr>
          <w:rFonts w:hint="eastAsia"/>
          <w:sz w:val="15"/>
          <w:szCs w:val="15"/>
          <w:highlight w:val="none"/>
          <w:lang w:val="en-US" w:eastAsia="zh-CN"/>
        </w:rPr>
        <w:t>130182198208220519</w:t>
      </w:r>
      <w:r>
        <w:rPr>
          <w:rFonts w:hint="eastAsia"/>
          <w:sz w:val="15"/>
          <w:szCs w:val="15"/>
        </w:rPr>
        <w:t xml:space="preserve">  </w:t>
      </w:r>
      <w:r>
        <w:rPr>
          <w:rFonts w:hint="eastAsia"/>
          <w:sz w:val="15"/>
          <w:szCs w:val="15"/>
          <w:lang w:val="en-US" w:eastAsia="zh-CN"/>
        </w:rPr>
        <w:t>冀A7275Y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