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马强</w:t>
      </w:r>
      <w:r>
        <w:rPr>
          <w:rFonts w:hint="eastAsia"/>
          <w:sz w:val="15"/>
          <w:szCs w:val="15"/>
          <w:highlight w:val="none"/>
        </w:rPr>
        <w:t>，</w:t>
      </w:r>
      <w:r>
        <w:rPr>
          <w:rFonts w:hint="eastAsia"/>
          <w:sz w:val="15"/>
          <w:szCs w:val="15"/>
          <w:highlight w:val="none"/>
          <w:lang w:val="en-US" w:eastAsia="zh-CN"/>
        </w:rPr>
        <w:t>130182198203270517</w:t>
      </w:r>
      <w:r>
        <w:rPr>
          <w:rFonts w:hint="eastAsia"/>
          <w:sz w:val="15"/>
          <w:szCs w:val="15"/>
        </w:rPr>
        <w:t xml:space="preserve">  </w:t>
      </w:r>
      <w:r>
        <w:rPr>
          <w:rFonts w:hint="eastAsia"/>
          <w:sz w:val="15"/>
          <w:szCs w:val="15"/>
          <w:lang w:val="en-US" w:eastAsia="zh-CN"/>
        </w:rPr>
        <w:t>冀A728HV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