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黄会明</w:t>
      </w:r>
      <w:r>
        <w:rPr>
          <w:rFonts w:hint="eastAsia"/>
          <w:sz w:val="15"/>
          <w:szCs w:val="15"/>
          <w:highlight w:val="none"/>
        </w:rPr>
        <w:t>，</w:t>
      </w:r>
      <w:r>
        <w:rPr>
          <w:rFonts w:hint="eastAsia"/>
          <w:sz w:val="15"/>
          <w:szCs w:val="15"/>
          <w:highlight w:val="none"/>
          <w:lang w:val="en-US" w:eastAsia="zh-CN"/>
        </w:rPr>
        <w:t>130182197710044819</w:t>
      </w:r>
      <w:r>
        <w:rPr>
          <w:rFonts w:hint="eastAsia"/>
          <w:sz w:val="15"/>
          <w:szCs w:val="15"/>
        </w:rPr>
        <w:t xml:space="preserve">  </w:t>
      </w:r>
      <w:r>
        <w:rPr>
          <w:rFonts w:hint="eastAsia"/>
          <w:sz w:val="15"/>
          <w:szCs w:val="15"/>
          <w:lang w:val="en-US" w:eastAsia="zh-CN"/>
        </w:rPr>
        <w:t>冀A739AR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