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李青峰</w:t>
      </w:r>
      <w:r>
        <w:rPr>
          <w:rFonts w:hint="eastAsia"/>
          <w:sz w:val="15"/>
          <w:szCs w:val="15"/>
          <w:highlight w:val="none"/>
        </w:rPr>
        <w:t>，</w:t>
      </w:r>
      <w:r>
        <w:rPr>
          <w:rFonts w:hint="eastAsia"/>
          <w:sz w:val="15"/>
          <w:szCs w:val="15"/>
          <w:highlight w:val="none"/>
          <w:lang w:val="en-US" w:eastAsia="zh-CN"/>
        </w:rPr>
        <w:t>130182197407110019</w:t>
      </w:r>
      <w:r>
        <w:rPr>
          <w:rFonts w:hint="eastAsia"/>
          <w:sz w:val="15"/>
          <w:szCs w:val="15"/>
        </w:rPr>
        <w:t xml:space="preserve">  </w:t>
      </w:r>
      <w:r>
        <w:rPr>
          <w:rFonts w:hint="eastAsia"/>
          <w:sz w:val="15"/>
          <w:szCs w:val="15"/>
          <w:lang w:val="en-US" w:eastAsia="zh-CN"/>
        </w:rPr>
        <w:t>冀A747AW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