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史晓涵</w:t>
      </w:r>
      <w:r>
        <w:rPr>
          <w:rFonts w:hint="eastAsia"/>
          <w:sz w:val="15"/>
          <w:szCs w:val="15"/>
          <w:highlight w:val="none"/>
        </w:rPr>
        <w:t>，</w:t>
      </w:r>
      <w:r>
        <w:rPr>
          <w:rFonts w:hint="eastAsia"/>
          <w:sz w:val="15"/>
          <w:szCs w:val="15"/>
          <w:highlight w:val="none"/>
          <w:lang w:val="en-US" w:eastAsia="zh-CN"/>
        </w:rPr>
        <w:t>130131200612291263</w:t>
      </w:r>
      <w:r>
        <w:rPr>
          <w:rFonts w:hint="eastAsia"/>
          <w:sz w:val="15"/>
          <w:szCs w:val="15"/>
        </w:rPr>
        <w:t xml:space="preserve">  </w:t>
      </w:r>
      <w:r>
        <w:rPr>
          <w:rFonts w:hint="eastAsia"/>
          <w:sz w:val="15"/>
          <w:szCs w:val="15"/>
          <w:lang w:val="en-US" w:eastAsia="zh-CN"/>
        </w:rPr>
        <w:t>冀A2993T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