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乔家悦</w:t>
      </w:r>
      <w:r>
        <w:rPr>
          <w:rFonts w:hint="eastAsia"/>
          <w:sz w:val="15"/>
          <w:szCs w:val="15"/>
          <w:highlight w:val="none"/>
        </w:rPr>
        <w:t>，</w:t>
      </w:r>
      <w:r>
        <w:rPr>
          <w:rFonts w:hint="eastAsia"/>
          <w:sz w:val="15"/>
          <w:szCs w:val="15"/>
          <w:highlight w:val="none"/>
          <w:lang w:val="en-US" w:eastAsia="zh-CN"/>
        </w:rPr>
        <w:t>130131200609093928</w:t>
      </w:r>
      <w:r>
        <w:rPr>
          <w:rFonts w:hint="eastAsia"/>
          <w:sz w:val="15"/>
          <w:szCs w:val="15"/>
        </w:rPr>
        <w:t xml:space="preserve">  </w:t>
      </w:r>
      <w:r>
        <w:rPr>
          <w:rFonts w:hint="eastAsia"/>
          <w:sz w:val="15"/>
          <w:szCs w:val="15"/>
          <w:lang w:val="en-US" w:eastAsia="zh-CN"/>
        </w:rPr>
        <w:t>冀A32787D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