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李正义</w:t>
      </w:r>
      <w:r>
        <w:rPr>
          <w:rFonts w:hint="eastAsia"/>
          <w:sz w:val="15"/>
          <w:szCs w:val="15"/>
          <w:highlight w:val="none"/>
        </w:rPr>
        <w:t>，</w:t>
      </w:r>
      <w:r>
        <w:rPr>
          <w:rFonts w:hint="eastAsia"/>
          <w:sz w:val="15"/>
          <w:szCs w:val="15"/>
          <w:highlight w:val="none"/>
          <w:lang w:val="en-US" w:eastAsia="zh-CN"/>
        </w:rPr>
        <w:t>130131200101020912</w:t>
      </w:r>
      <w:r>
        <w:rPr>
          <w:rFonts w:hint="eastAsia"/>
          <w:sz w:val="15"/>
          <w:szCs w:val="15"/>
        </w:rPr>
        <w:t xml:space="preserve">  </w:t>
      </w:r>
      <w:r>
        <w:rPr>
          <w:rFonts w:hint="eastAsia"/>
          <w:sz w:val="15"/>
          <w:szCs w:val="15"/>
          <w:lang w:val="en-US" w:eastAsia="zh-CN"/>
        </w:rPr>
        <w:t>晋C02208D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