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范肖琪</w:t>
      </w:r>
      <w:r>
        <w:rPr>
          <w:rFonts w:hint="eastAsia"/>
          <w:sz w:val="15"/>
          <w:szCs w:val="15"/>
          <w:highlight w:val="none"/>
        </w:rPr>
        <w:t>，</w:t>
      </w:r>
      <w:r>
        <w:rPr>
          <w:rFonts w:hint="eastAsia"/>
          <w:sz w:val="15"/>
          <w:szCs w:val="15"/>
          <w:highlight w:val="none"/>
          <w:lang w:val="en-US" w:eastAsia="zh-CN"/>
        </w:rPr>
        <w:t>130131200005214223</w:t>
      </w:r>
      <w:r>
        <w:rPr>
          <w:rFonts w:hint="eastAsia"/>
          <w:sz w:val="15"/>
          <w:szCs w:val="15"/>
        </w:rPr>
        <w:t xml:space="preserve">  </w:t>
      </w:r>
      <w:r>
        <w:rPr>
          <w:rFonts w:hint="eastAsia"/>
          <w:sz w:val="15"/>
          <w:szCs w:val="15"/>
          <w:lang w:val="en-US" w:eastAsia="zh-CN"/>
        </w:rPr>
        <w:t>冀A41455D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