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霍晓娜</w:t>
      </w:r>
      <w:r>
        <w:rPr>
          <w:rFonts w:hint="eastAsia"/>
          <w:sz w:val="15"/>
          <w:szCs w:val="15"/>
          <w:highlight w:val="none"/>
        </w:rPr>
        <w:t>，</w:t>
      </w:r>
      <w:r>
        <w:rPr>
          <w:rFonts w:hint="eastAsia"/>
          <w:sz w:val="15"/>
          <w:szCs w:val="15"/>
          <w:highlight w:val="none"/>
          <w:lang w:val="en-US" w:eastAsia="zh-CN"/>
        </w:rPr>
        <w:t>130131199909106027</w:t>
      </w:r>
      <w:r>
        <w:rPr>
          <w:rFonts w:hint="eastAsia"/>
          <w:sz w:val="15"/>
          <w:szCs w:val="15"/>
        </w:rPr>
        <w:t xml:space="preserve">  </w:t>
      </w:r>
      <w:r>
        <w:rPr>
          <w:rFonts w:hint="eastAsia"/>
          <w:sz w:val="15"/>
          <w:szCs w:val="15"/>
          <w:lang w:val="en-US" w:eastAsia="zh-CN"/>
        </w:rPr>
        <w:t>冀A30531D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