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戎江龙</w:t>
      </w:r>
      <w:r>
        <w:rPr>
          <w:rFonts w:hint="eastAsia"/>
          <w:sz w:val="15"/>
          <w:szCs w:val="15"/>
          <w:highlight w:val="none"/>
        </w:rPr>
        <w:t>，</w:t>
      </w:r>
      <w:r>
        <w:rPr>
          <w:rFonts w:hint="eastAsia"/>
          <w:sz w:val="15"/>
          <w:szCs w:val="15"/>
          <w:highlight w:val="none"/>
          <w:lang w:val="en-US" w:eastAsia="zh-CN"/>
        </w:rPr>
        <w:t>130131199801016054</w:t>
      </w:r>
      <w:r>
        <w:rPr>
          <w:rFonts w:hint="eastAsia"/>
          <w:sz w:val="15"/>
          <w:szCs w:val="15"/>
        </w:rPr>
        <w:t xml:space="preserve">  </w:t>
      </w:r>
      <w:r>
        <w:rPr>
          <w:rFonts w:hint="eastAsia"/>
          <w:sz w:val="15"/>
          <w:szCs w:val="15"/>
          <w:lang w:val="en-US" w:eastAsia="zh-CN"/>
        </w:rPr>
        <w:t>冀AMA891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