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王利轩</w:t>
      </w:r>
      <w:r>
        <w:rPr>
          <w:rFonts w:hint="eastAsia"/>
          <w:sz w:val="15"/>
          <w:szCs w:val="15"/>
          <w:highlight w:val="none"/>
        </w:rPr>
        <w:t>，</w:t>
      </w:r>
      <w:r>
        <w:rPr>
          <w:rFonts w:hint="eastAsia"/>
          <w:sz w:val="15"/>
          <w:szCs w:val="15"/>
          <w:highlight w:val="none"/>
          <w:lang w:val="en-US" w:eastAsia="zh-CN"/>
        </w:rPr>
        <w:t>130131199608183926</w:t>
      </w:r>
      <w:r>
        <w:rPr>
          <w:rFonts w:hint="eastAsia"/>
          <w:sz w:val="15"/>
          <w:szCs w:val="15"/>
        </w:rPr>
        <w:t xml:space="preserve">  </w:t>
      </w:r>
      <w:r>
        <w:rPr>
          <w:rFonts w:hint="eastAsia"/>
          <w:sz w:val="15"/>
          <w:szCs w:val="15"/>
          <w:lang w:val="en-US" w:eastAsia="zh-CN"/>
        </w:rPr>
        <w:t>冀AAA746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