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李晓健</w:t>
      </w:r>
      <w:r>
        <w:rPr>
          <w:rFonts w:hint="eastAsia"/>
          <w:sz w:val="15"/>
          <w:szCs w:val="15"/>
          <w:highlight w:val="none"/>
        </w:rPr>
        <w:t>，</w:t>
      </w:r>
      <w:r>
        <w:rPr>
          <w:rFonts w:hint="eastAsia"/>
          <w:sz w:val="15"/>
          <w:szCs w:val="15"/>
          <w:highlight w:val="none"/>
          <w:lang w:val="en-US" w:eastAsia="zh-CN"/>
        </w:rPr>
        <w:t>130131199512025712</w:t>
      </w:r>
      <w:r>
        <w:rPr>
          <w:rFonts w:hint="eastAsia"/>
          <w:sz w:val="15"/>
          <w:szCs w:val="15"/>
        </w:rPr>
        <w:t xml:space="preserve">  </w:t>
      </w:r>
      <w:r>
        <w:rPr>
          <w:rFonts w:hint="eastAsia"/>
          <w:sz w:val="15"/>
          <w:szCs w:val="15"/>
          <w:lang w:val="en-US" w:eastAsia="zh-CN"/>
        </w:rPr>
        <w:t>冀AC5344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