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刘杰</w:t>
      </w:r>
      <w:r>
        <w:rPr>
          <w:rFonts w:hint="eastAsia"/>
          <w:sz w:val="15"/>
          <w:szCs w:val="15"/>
          <w:highlight w:val="none"/>
        </w:rPr>
        <w:t>，</w:t>
      </w:r>
      <w:r>
        <w:rPr>
          <w:rFonts w:hint="eastAsia"/>
          <w:sz w:val="15"/>
          <w:szCs w:val="15"/>
          <w:highlight w:val="none"/>
          <w:lang w:val="en-US" w:eastAsia="zh-CN"/>
        </w:rPr>
        <w:t>130131199410053915</w:t>
      </w:r>
      <w:r>
        <w:rPr>
          <w:rFonts w:hint="eastAsia"/>
          <w:sz w:val="15"/>
          <w:szCs w:val="15"/>
        </w:rPr>
        <w:t xml:space="preserve">  </w:t>
      </w:r>
      <w:r>
        <w:rPr>
          <w:rFonts w:hint="eastAsia"/>
          <w:sz w:val="15"/>
          <w:szCs w:val="15"/>
          <w:lang w:val="en-US" w:eastAsia="zh-CN"/>
        </w:rPr>
        <w:t>冀A237PK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