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段旭杰</w:t>
      </w:r>
      <w:r>
        <w:rPr>
          <w:rFonts w:hint="eastAsia"/>
          <w:sz w:val="15"/>
          <w:szCs w:val="15"/>
          <w:highlight w:val="none"/>
        </w:rPr>
        <w:t>，</w:t>
      </w:r>
      <w:r>
        <w:rPr>
          <w:rFonts w:hint="eastAsia"/>
          <w:sz w:val="15"/>
          <w:szCs w:val="15"/>
          <w:highlight w:val="none"/>
          <w:lang w:val="en-US" w:eastAsia="zh-CN"/>
        </w:rPr>
        <w:t>130131199409151817</w:t>
      </w:r>
      <w:r>
        <w:rPr>
          <w:rFonts w:hint="eastAsia"/>
          <w:sz w:val="15"/>
          <w:szCs w:val="15"/>
        </w:rPr>
        <w:t xml:space="preserve">  </w:t>
      </w:r>
      <w:r>
        <w:rPr>
          <w:rFonts w:hint="eastAsia"/>
          <w:sz w:val="15"/>
          <w:szCs w:val="15"/>
          <w:lang w:val="en-US" w:eastAsia="zh-CN"/>
        </w:rPr>
        <w:t>沪A78788D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