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秘亚强</w:t>
      </w:r>
      <w:r>
        <w:rPr>
          <w:rFonts w:hint="eastAsia"/>
          <w:sz w:val="15"/>
          <w:szCs w:val="15"/>
          <w:highlight w:val="none"/>
        </w:rPr>
        <w:t>，</w:t>
      </w:r>
      <w:r>
        <w:rPr>
          <w:rFonts w:hint="eastAsia"/>
          <w:sz w:val="15"/>
          <w:szCs w:val="15"/>
          <w:highlight w:val="none"/>
          <w:lang w:val="en-US" w:eastAsia="zh-CN"/>
        </w:rPr>
        <w:t>130131199408123910</w:t>
      </w:r>
      <w:r>
        <w:rPr>
          <w:rFonts w:hint="eastAsia"/>
          <w:sz w:val="15"/>
          <w:szCs w:val="15"/>
        </w:rPr>
        <w:t xml:space="preserve">  </w:t>
      </w:r>
      <w:r>
        <w:rPr>
          <w:rFonts w:hint="eastAsia"/>
          <w:sz w:val="15"/>
          <w:szCs w:val="15"/>
          <w:lang w:val="en-US" w:eastAsia="zh-CN"/>
        </w:rPr>
        <w:t>冀A919JQ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