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刘会利</w:t>
      </w:r>
      <w:r>
        <w:rPr>
          <w:rFonts w:hint="eastAsia"/>
          <w:sz w:val="15"/>
          <w:szCs w:val="15"/>
          <w:highlight w:val="none"/>
        </w:rPr>
        <w:t>，</w:t>
      </w:r>
      <w:r>
        <w:rPr>
          <w:rFonts w:hint="eastAsia"/>
          <w:sz w:val="15"/>
          <w:szCs w:val="15"/>
          <w:highlight w:val="none"/>
          <w:lang w:val="en-US" w:eastAsia="zh-CN"/>
        </w:rPr>
        <w:t>130131199407254222</w:t>
      </w:r>
      <w:r>
        <w:rPr>
          <w:rFonts w:hint="eastAsia"/>
          <w:sz w:val="15"/>
          <w:szCs w:val="15"/>
        </w:rPr>
        <w:t xml:space="preserve">  </w:t>
      </w:r>
      <w:r>
        <w:rPr>
          <w:rFonts w:hint="eastAsia"/>
          <w:sz w:val="15"/>
          <w:szCs w:val="15"/>
          <w:lang w:val="en-US" w:eastAsia="zh-CN"/>
        </w:rPr>
        <w:t>冀A954BF</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