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张二强</w:t>
      </w:r>
      <w:r>
        <w:rPr>
          <w:rFonts w:hint="eastAsia"/>
          <w:sz w:val="15"/>
          <w:szCs w:val="15"/>
          <w:highlight w:val="none"/>
        </w:rPr>
        <w:t>，</w:t>
      </w:r>
      <w:r>
        <w:rPr>
          <w:rFonts w:hint="eastAsia"/>
          <w:sz w:val="15"/>
          <w:szCs w:val="15"/>
          <w:highlight w:val="none"/>
          <w:lang w:val="en-US" w:eastAsia="zh-CN"/>
        </w:rPr>
        <w:t>130131199210153612</w:t>
      </w:r>
      <w:r>
        <w:rPr>
          <w:rFonts w:hint="eastAsia"/>
          <w:sz w:val="15"/>
          <w:szCs w:val="15"/>
        </w:rPr>
        <w:t xml:space="preserve">  </w:t>
      </w:r>
      <w:r>
        <w:rPr>
          <w:rFonts w:hint="eastAsia"/>
          <w:sz w:val="15"/>
          <w:szCs w:val="15"/>
          <w:lang w:val="en-US" w:eastAsia="zh-CN"/>
        </w:rPr>
        <w:t>冀ANJ093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