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段燕新</w:t>
      </w:r>
      <w:r>
        <w:rPr>
          <w:rFonts w:hint="eastAsia"/>
          <w:sz w:val="15"/>
          <w:szCs w:val="15"/>
          <w:highlight w:val="none"/>
        </w:rPr>
        <w:t>，</w:t>
      </w:r>
      <w:r>
        <w:rPr>
          <w:rFonts w:hint="eastAsia"/>
          <w:sz w:val="15"/>
          <w:szCs w:val="15"/>
          <w:highlight w:val="none"/>
          <w:lang w:val="en-US" w:eastAsia="zh-CN"/>
        </w:rPr>
        <w:t>130131199205026918</w:t>
      </w:r>
      <w:r>
        <w:rPr>
          <w:rFonts w:hint="eastAsia"/>
          <w:sz w:val="15"/>
          <w:szCs w:val="15"/>
        </w:rPr>
        <w:t xml:space="preserve">  </w:t>
      </w:r>
      <w:r>
        <w:rPr>
          <w:rFonts w:hint="eastAsia"/>
          <w:sz w:val="15"/>
          <w:szCs w:val="15"/>
          <w:lang w:val="en-US" w:eastAsia="zh-CN"/>
        </w:rPr>
        <w:t>冀A33054D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