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霍江利</w:t>
      </w:r>
      <w:r>
        <w:rPr>
          <w:rFonts w:hint="eastAsia"/>
          <w:sz w:val="15"/>
          <w:szCs w:val="15"/>
          <w:highlight w:val="none"/>
        </w:rPr>
        <w:t>，</w:t>
      </w:r>
      <w:r>
        <w:rPr>
          <w:rFonts w:hint="eastAsia"/>
          <w:sz w:val="15"/>
          <w:szCs w:val="15"/>
          <w:highlight w:val="none"/>
          <w:lang w:val="en-US" w:eastAsia="zh-CN"/>
        </w:rPr>
        <w:t>130131199109125115</w:t>
      </w:r>
      <w:r>
        <w:rPr>
          <w:rFonts w:hint="eastAsia"/>
          <w:sz w:val="15"/>
          <w:szCs w:val="15"/>
        </w:rPr>
        <w:t xml:space="preserve">  </w:t>
      </w:r>
      <w:r>
        <w:rPr>
          <w:rFonts w:hint="eastAsia"/>
          <w:sz w:val="15"/>
          <w:szCs w:val="15"/>
          <w:lang w:val="en-US" w:eastAsia="zh-CN"/>
        </w:rPr>
        <w:t>冀AKP628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