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焦亚男</w:t>
      </w:r>
      <w:r>
        <w:rPr>
          <w:rFonts w:hint="eastAsia"/>
          <w:sz w:val="15"/>
          <w:szCs w:val="15"/>
          <w:highlight w:val="none"/>
        </w:rPr>
        <w:t>，</w:t>
      </w:r>
      <w:r>
        <w:rPr>
          <w:rFonts w:hint="eastAsia"/>
          <w:sz w:val="15"/>
          <w:szCs w:val="15"/>
          <w:highlight w:val="none"/>
          <w:lang w:val="en-US" w:eastAsia="zh-CN"/>
        </w:rPr>
        <w:t>130131199108054212</w:t>
      </w:r>
      <w:r>
        <w:rPr>
          <w:rFonts w:hint="eastAsia"/>
          <w:sz w:val="15"/>
          <w:szCs w:val="15"/>
        </w:rPr>
        <w:t xml:space="preserve">  </w:t>
      </w:r>
      <w:r>
        <w:rPr>
          <w:rFonts w:hint="eastAsia"/>
          <w:sz w:val="15"/>
          <w:szCs w:val="15"/>
          <w:lang w:val="en-US" w:eastAsia="zh-CN"/>
        </w:rPr>
        <w:t>冀A4702V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