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张宁</w:t>
      </w:r>
      <w:r>
        <w:rPr>
          <w:rFonts w:hint="eastAsia"/>
          <w:sz w:val="15"/>
          <w:szCs w:val="15"/>
          <w:highlight w:val="none"/>
        </w:rPr>
        <w:t>，</w:t>
      </w:r>
      <w:r>
        <w:rPr>
          <w:rFonts w:hint="eastAsia"/>
          <w:sz w:val="15"/>
          <w:szCs w:val="15"/>
          <w:highlight w:val="none"/>
          <w:lang w:val="en-US" w:eastAsia="zh-CN"/>
        </w:rPr>
        <w:t>130131199101020685</w:t>
      </w:r>
      <w:r>
        <w:rPr>
          <w:rFonts w:hint="eastAsia"/>
          <w:sz w:val="15"/>
          <w:szCs w:val="15"/>
        </w:rPr>
        <w:t xml:space="preserve">  </w:t>
      </w:r>
      <w:r>
        <w:rPr>
          <w:rFonts w:hint="eastAsia"/>
          <w:sz w:val="15"/>
          <w:szCs w:val="15"/>
          <w:lang w:val="en-US" w:eastAsia="zh-CN"/>
        </w:rPr>
        <w:t>冀A40688D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