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盖晓露</w:t>
      </w:r>
      <w:r>
        <w:rPr>
          <w:rFonts w:hint="eastAsia"/>
          <w:sz w:val="15"/>
          <w:szCs w:val="15"/>
          <w:highlight w:val="none"/>
        </w:rPr>
        <w:t>，</w:t>
      </w:r>
      <w:r>
        <w:rPr>
          <w:rFonts w:hint="eastAsia"/>
          <w:sz w:val="15"/>
          <w:szCs w:val="15"/>
          <w:highlight w:val="none"/>
          <w:lang w:val="en-US" w:eastAsia="zh-CN"/>
        </w:rPr>
        <w:t>130131199011230099</w:t>
      </w:r>
      <w:r>
        <w:rPr>
          <w:rFonts w:hint="eastAsia"/>
          <w:sz w:val="15"/>
          <w:szCs w:val="15"/>
        </w:rPr>
        <w:t xml:space="preserve">  </w:t>
      </w:r>
      <w:r>
        <w:rPr>
          <w:rFonts w:hint="eastAsia"/>
          <w:sz w:val="15"/>
          <w:szCs w:val="15"/>
          <w:lang w:val="en-US" w:eastAsia="zh-CN"/>
        </w:rPr>
        <w:t>冀AF9446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