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王宝成</w:t>
      </w:r>
      <w:r>
        <w:rPr>
          <w:rFonts w:hint="eastAsia"/>
          <w:sz w:val="15"/>
          <w:szCs w:val="15"/>
          <w:highlight w:val="none"/>
        </w:rPr>
        <w:t>，</w:t>
      </w:r>
      <w:r>
        <w:rPr>
          <w:rFonts w:hint="eastAsia"/>
          <w:sz w:val="15"/>
          <w:szCs w:val="15"/>
          <w:highlight w:val="none"/>
          <w:lang w:val="en-US" w:eastAsia="zh-CN"/>
        </w:rPr>
        <w:t>130131199008250654</w:t>
      </w:r>
      <w:r>
        <w:rPr>
          <w:rFonts w:hint="eastAsia"/>
          <w:sz w:val="15"/>
          <w:szCs w:val="15"/>
        </w:rPr>
        <w:t xml:space="preserve">  </w:t>
      </w:r>
      <w:r>
        <w:rPr>
          <w:rFonts w:hint="eastAsia"/>
          <w:sz w:val="15"/>
          <w:szCs w:val="15"/>
          <w:lang w:val="en-US" w:eastAsia="zh-CN"/>
        </w:rPr>
        <w:t>冀A30N10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