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王雷雷</w:t>
      </w:r>
      <w:r>
        <w:rPr>
          <w:rFonts w:hint="eastAsia"/>
          <w:sz w:val="15"/>
          <w:szCs w:val="15"/>
          <w:highlight w:val="none"/>
        </w:rPr>
        <w:t>，</w:t>
      </w:r>
      <w:r>
        <w:rPr>
          <w:rFonts w:hint="eastAsia"/>
          <w:sz w:val="15"/>
          <w:szCs w:val="15"/>
          <w:highlight w:val="none"/>
          <w:lang w:val="en-US" w:eastAsia="zh-CN"/>
        </w:rPr>
        <w:t>130131199005214252</w:t>
      </w:r>
      <w:r>
        <w:rPr>
          <w:rFonts w:hint="eastAsia"/>
          <w:sz w:val="15"/>
          <w:szCs w:val="15"/>
        </w:rPr>
        <w:t xml:space="preserve">  </w:t>
      </w:r>
      <w:r>
        <w:rPr>
          <w:rFonts w:hint="eastAsia"/>
          <w:sz w:val="15"/>
          <w:szCs w:val="15"/>
          <w:lang w:val="en-US" w:eastAsia="zh-CN"/>
        </w:rPr>
        <w:t>冀A444U3</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