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孙春娥</w:t>
      </w:r>
      <w:r>
        <w:rPr>
          <w:rFonts w:hint="eastAsia"/>
          <w:sz w:val="15"/>
          <w:szCs w:val="15"/>
          <w:highlight w:val="none"/>
        </w:rPr>
        <w:t>，</w:t>
      </w:r>
      <w:r>
        <w:rPr>
          <w:rFonts w:hint="eastAsia"/>
          <w:sz w:val="15"/>
          <w:szCs w:val="15"/>
          <w:highlight w:val="none"/>
          <w:lang w:val="en-US" w:eastAsia="zh-CN"/>
        </w:rPr>
        <w:t>130131199003161521</w:t>
      </w:r>
      <w:r>
        <w:rPr>
          <w:rFonts w:hint="eastAsia"/>
          <w:sz w:val="15"/>
          <w:szCs w:val="15"/>
        </w:rPr>
        <w:t xml:space="preserve">  </w:t>
      </w:r>
      <w:r>
        <w:rPr>
          <w:rFonts w:hint="eastAsia"/>
          <w:sz w:val="15"/>
          <w:szCs w:val="15"/>
          <w:lang w:val="en-US" w:eastAsia="zh-CN"/>
        </w:rPr>
        <w:t>冀A384AC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