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刘言龙</w:t>
      </w:r>
      <w:r>
        <w:rPr>
          <w:rFonts w:hint="eastAsia"/>
          <w:sz w:val="15"/>
          <w:szCs w:val="15"/>
          <w:highlight w:val="none"/>
        </w:rPr>
        <w:t>，</w:t>
      </w:r>
      <w:r>
        <w:rPr>
          <w:rFonts w:hint="eastAsia"/>
          <w:sz w:val="15"/>
          <w:szCs w:val="15"/>
          <w:highlight w:val="none"/>
          <w:lang w:val="en-US" w:eastAsia="zh-CN"/>
        </w:rPr>
        <w:t>130131199002264211</w:t>
      </w:r>
      <w:r>
        <w:rPr>
          <w:rFonts w:hint="eastAsia"/>
          <w:sz w:val="15"/>
          <w:szCs w:val="15"/>
        </w:rPr>
        <w:t xml:space="preserve">  </w:t>
      </w:r>
      <w:r>
        <w:rPr>
          <w:rFonts w:hint="eastAsia"/>
          <w:sz w:val="15"/>
          <w:szCs w:val="15"/>
          <w:lang w:val="en-US" w:eastAsia="zh-CN"/>
        </w:rPr>
        <w:t>冀A8283J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