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张哲哲</w:t>
      </w:r>
      <w:r>
        <w:rPr>
          <w:rFonts w:hint="eastAsia"/>
          <w:sz w:val="15"/>
          <w:szCs w:val="15"/>
          <w:highlight w:val="none"/>
        </w:rPr>
        <w:t>，</w:t>
      </w:r>
      <w:r>
        <w:rPr>
          <w:rFonts w:hint="eastAsia"/>
          <w:sz w:val="15"/>
          <w:szCs w:val="15"/>
          <w:highlight w:val="none"/>
          <w:lang w:val="en-US" w:eastAsia="zh-CN"/>
        </w:rPr>
        <w:t>13013119900225331X</w:t>
      </w:r>
      <w:r>
        <w:rPr>
          <w:rFonts w:hint="eastAsia"/>
          <w:sz w:val="15"/>
          <w:szCs w:val="15"/>
        </w:rPr>
        <w:t xml:space="preserve">  </w:t>
      </w:r>
      <w:r>
        <w:rPr>
          <w:rFonts w:hint="eastAsia"/>
          <w:sz w:val="15"/>
          <w:szCs w:val="15"/>
          <w:lang w:val="en-US" w:eastAsia="zh-CN"/>
        </w:rPr>
        <w:t>冀AVY893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