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董亚丽</w:t>
      </w:r>
      <w:r>
        <w:rPr>
          <w:rFonts w:hint="eastAsia"/>
          <w:sz w:val="15"/>
          <w:szCs w:val="15"/>
          <w:highlight w:val="none"/>
        </w:rPr>
        <w:t>，</w:t>
      </w:r>
      <w:r>
        <w:rPr>
          <w:rFonts w:hint="eastAsia"/>
          <w:sz w:val="15"/>
          <w:szCs w:val="15"/>
          <w:highlight w:val="none"/>
          <w:lang w:val="en-US" w:eastAsia="zh-CN"/>
        </w:rPr>
        <w:t>130131198912106920</w:t>
      </w:r>
      <w:r>
        <w:rPr>
          <w:rFonts w:hint="eastAsia"/>
          <w:sz w:val="15"/>
          <w:szCs w:val="15"/>
        </w:rPr>
        <w:t xml:space="preserve">  </w:t>
      </w:r>
      <w:r>
        <w:rPr>
          <w:rFonts w:hint="eastAsia"/>
          <w:sz w:val="15"/>
          <w:szCs w:val="15"/>
          <w:lang w:val="en-US" w:eastAsia="zh-CN"/>
        </w:rPr>
        <w:t>冀A1273V</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