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杨江波</w:t>
      </w:r>
      <w:r>
        <w:rPr>
          <w:rFonts w:hint="eastAsia"/>
          <w:sz w:val="15"/>
          <w:szCs w:val="15"/>
          <w:highlight w:val="none"/>
        </w:rPr>
        <w:t>，</w:t>
      </w:r>
      <w:r>
        <w:rPr>
          <w:rFonts w:hint="eastAsia"/>
          <w:sz w:val="15"/>
          <w:szCs w:val="15"/>
          <w:highlight w:val="none"/>
          <w:lang w:val="en-US" w:eastAsia="zh-CN"/>
        </w:rPr>
        <w:t>130131198911183617</w:t>
      </w:r>
      <w:r>
        <w:rPr>
          <w:rFonts w:hint="eastAsia"/>
          <w:sz w:val="15"/>
          <w:szCs w:val="15"/>
        </w:rPr>
        <w:t xml:space="preserve">  </w:t>
      </w:r>
      <w:r>
        <w:rPr>
          <w:rFonts w:hint="eastAsia"/>
          <w:sz w:val="15"/>
          <w:szCs w:val="15"/>
          <w:lang w:val="en-US" w:eastAsia="zh-CN"/>
        </w:rPr>
        <w:t>冀AT9363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