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刘亚从</w:t>
      </w:r>
      <w:r>
        <w:rPr>
          <w:rFonts w:hint="eastAsia"/>
          <w:sz w:val="15"/>
          <w:szCs w:val="15"/>
          <w:highlight w:val="none"/>
        </w:rPr>
        <w:t>，</w:t>
      </w:r>
      <w:r>
        <w:rPr>
          <w:rFonts w:hint="eastAsia"/>
          <w:sz w:val="15"/>
          <w:szCs w:val="15"/>
          <w:highlight w:val="none"/>
          <w:lang w:val="en-US" w:eastAsia="zh-CN"/>
        </w:rPr>
        <w:t>130131198910070610</w:t>
      </w:r>
      <w:r>
        <w:rPr>
          <w:rFonts w:hint="eastAsia"/>
          <w:sz w:val="15"/>
          <w:szCs w:val="15"/>
        </w:rPr>
        <w:t xml:space="preserve">  </w:t>
      </w:r>
      <w:r>
        <w:rPr>
          <w:rFonts w:hint="eastAsia"/>
          <w:sz w:val="15"/>
          <w:szCs w:val="15"/>
          <w:lang w:val="en-US" w:eastAsia="zh-CN"/>
        </w:rPr>
        <w:t>冀A943U6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