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王艳</w:t>
      </w:r>
      <w:r>
        <w:rPr>
          <w:rFonts w:hint="eastAsia"/>
          <w:sz w:val="15"/>
          <w:szCs w:val="15"/>
          <w:highlight w:val="none"/>
        </w:rPr>
        <w:t>，</w:t>
      </w:r>
      <w:r>
        <w:rPr>
          <w:rFonts w:hint="eastAsia"/>
          <w:sz w:val="15"/>
          <w:szCs w:val="15"/>
          <w:highlight w:val="none"/>
          <w:lang w:val="en-US" w:eastAsia="zh-CN"/>
        </w:rPr>
        <w:t>130131198811150025</w:t>
      </w:r>
      <w:r>
        <w:rPr>
          <w:rFonts w:hint="eastAsia"/>
          <w:sz w:val="15"/>
          <w:szCs w:val="15"/>
        </w:rPr>
        <w:t xml:space="preserve">  </w:t>
      </w:r>
      <w:r>
        <w:rPr>
          <w:rFonts w:hint="eastAsia"/>
          <w:sz w:val="15"/>
          <w:szCs w:val="15"/>
          <w:lang w:val="en-US" w:eastAsia="zh-CN"/>
        </w:rPr>
        <w:t>冀AX0799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