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卢晓龙</w:t>
      </w:r>
      <w:r>
        <w:rPr>
          <w:rFonts w:hint="eastAsia"/>
          <w:sz w:val="15"/>
          <w:szCs w:val="15"/>
          <w:highlight w:val="none"/>
        </w:rPr>
        <w:t>，</w:t>
      </w:r>
      <w:r>
        <w:rPr>
          <w:rFonts w:hint="eastAsia"/>
          <w:sz w:val="15"/>
          <w:szCs w:val="15"/>
          <w:highlight w:val="none"/>
          <w:lang w:val="en-US" w:eastAsia="zh-CN"/>
        </w:rPr>
        <w:t>13013119880107003X</w:t>
      </w:r>
      <w:r>
        <w:rPr>
          <w:rFonts w:hint="eastAsia"/>
          <w:sz w:val="15"/>
          <w:szCs w:val="15"/>
        </w:rPr>
        <w:t xml:space="preserve">  </w:t>
      </w:r>
      <w:r>
        <w:rPr>
          <w:rFonts w:hint="eastAsia"/>
          <w:sz w:val="15"/>
          <w:szCs w:val="15"/>
          <w:lang w:val="en-US" w:eastAsia="zh-CN"/>
        </w:rPr>
        <w:t>冀AKZ683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